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DA" w:rsidRDefault="006422DA" w:rsidP="007C56D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E3" w:rsidRPr="007C56D9" w:rsidRDefault="009E22E3" w:rsidP="007C56D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56D9">
        <w:rPr>
          <w:rFonts w:ascii="Times New Roman" w:hAnsi="Times New Roman" w:cs="Times New Roman"/>
          <w:b/>
          <w:sz w:val="28"/>
          <w:szCs w:val="28"/>
        </w:rPr>
        <w:t>Анализ выполнения КД</w:t>
      </w:r>
    </w:p>
    <w:p w:rsidR="009E22E3" w:rsidRPr="007C56D9" w:rsidRDefault="009E22E3" w:rsidP="009E2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D9">
        <w:rPr>
          <w:rFonts w:ascii="Times New Roman" w:hAnsi="Times New Roman" w:cs="Times New Roman"/>
          <w:b/>
          <w:sz w:val="28"/>
          <w:szCs w:val="28"/>
        </w:rPr>
        <w:t>М</w:t>
      </w:r>
      <w:r w:rsidR="001C3780">
        <w:rPr>
          <w:rFonts w:ascii="Times New Roman" w:hAnsi="Times New Roman" w:cs="Times New Roman"/>
          <w:b/>
          <w:sz w:val="28"/>
          <w:szCs w:val="28"/>
        </w:rPr>
        <w:t>Д</w:t>
      </w:r>
      <w:r w:rsidRPr="007C56D9">
        <w:rPr>
          <w:rFonts w:ascii="Times New Roman" w:hAnsi="Times New Roman" w:cs="Times New Roman"/>
          <w:b/>
          <w:sz w:val="28"/>
          <w:szCs w:val="28"/>
        </w:rPr>
        <w:t xml:space="preserve">ОБУ </w:t>
      </w:r>
      <w:r w:rsidR="001C3780">
        <w:rPr>
          <w:rFonts w:ascii="Times New Roman" w:hAnsi="Times New Roman" w:cs="Times New Roman"/>
          <w:b/>
          <w:sz w:val="28"/>
          <w:szCs w:val="28"/>
        </w:rPr>
        <w:t>детский сад №140</w:t>
      </w:r>
    </w:p>
    <w:p w:rsidR="004E7C46" w:rsidRPr="007C56D9" w:rsidRDefault="006422DA" w:rsidP="009E2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9E22E3" w:rsidRPr="007C56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88"/>
        <w:gridCol w:w="4896"/>
        <w:gridCol w:w="2322"/>
      </w:tblGrid>
      <w:tr w:rsidR="009E22E3" w:rsidRPr="009E22E3" w:rsidTr="001634D1">
        <w:tc>
          <w:tcPr>
            <w:tcW w:w="2388" w:type="dxa"/>
          </w:tcPr>
          <w:bookmarkEnd w:id="0"/>
          <w:p w:rsidR="009E22E3" w:rsidRPr="009E22E3" w:rsidRDefault="009E22E3" w:rsidP="009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E3">
              <w:rPr>
                <w:rFonts w:ascii="Times New Roman" w:hAnsi="Times New Roman" w:cs="Times New Roman"/>
                <w:sz w:val="24"/>
                <w:szCs w:val="24"/>
              </w:rPr>
              <w:t>Раздел, пункт КД</w:t>
            </w:r>
          </w:p>
        </w:tc>
        <w:tc>
          <w:tcPr>
            <w:tcW w:w="4896" w:type="dxa"/>
          </w:tcPr>
          <w:p w:rsidR="009E22E3" w:rsidRPr="009E22E3" w:rsidRDefault="009E22E3" w:rsidP="009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E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322" w:type="dxa"/>
          </w:tcPr>
          <w:p w:rsidR="009E22E3" w:rsidRPr="009E22E3" w:rsidRDefault="009E22E3" w:rsidP="009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E3">
              <w:rPr>
                <w:rFonts w:ascii="Times New Roman" w:hAnsi="Times New Roman" w:cs="Times New Roman"/>
                <w:sz w:val="24"/>
                <w:szCs w:val="24"/>
              </w:rPr>
              <w:t>Замечания, предл</w:t>
            </w:r>
            <w:r w:rsidRPr="009E2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2E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Pr="009E22E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7C56D9" w:rsidRPr="007C56D9" w:rsidRDefault="007C56D9" w:rsidP="007C5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Трудовые отношения</w:t>
            </w:r>
          </w:p>
        </w:tc>
        <w:tc>
          <w:tcPr>
            <w:tcW w:w="2322" w:type="dxa"/>
          </w:tcPr>
          <w:p w:rsidR="007C56D9" w:rsidRPr="009E22E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1C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Содержание трудового договора, порядок его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чения, изменения и расторжения 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деляются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ТК РФ,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гими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и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правовыми актами, Уставом </w:t>
            </w:r>
            <w:r w:rsidR="001C378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ТК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2.2.Трудовой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заключается с работником в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 форме в двух экземплярах. </w:t>
            </w:r>
          </w:p>
        </w:tc>
        <w:tc>
          <w:tcPr>
            <w:tcW w:w="4896" w:type="dxa"/>
          </w:tcPr>
          <w:p w:rsidR="007C56D9" w:rsidRDefault="001C3780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на работу принято 29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договор заключен с 29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ми. Приказы о приеме на работу имеются. Второй экземпляр трудового договора пол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чен ка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дым работником. Подписи имеются.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2.3.Трудовой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 с работником, как правило,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чается на неопред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ленный срок. 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всеми принятыми работниками заключен трудовой договор на неопределенный срок. 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 нет.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 трудовом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 оговариваю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условия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договора,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смотренные ст.57 ТКРФ.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 ст.57 ТКРФ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Объем учебной нагрузки (педагог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работы)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дагогическим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 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соответствии с п.66 Типового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об ОУ устанавливается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ботодателем исходя из количества часов по учебному плану, программам,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печенности кадрами с учетом мнения ПК.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на 201</w:t>
            </w:r>
            <w:r w:rsidR="001C3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C3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проводилось  в </w:t>
            </w:r>
            <w:r w:rsidR="001C3780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C3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гласовано с профкомом.</w:t>
            </w:r>
          </w:p>
          <w:p w:rsidR="007C56D9" w:rsidRDefault="007C56D9" w:rsidP="001C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BB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2.10.Уменьшение или увеличение учебной нагрузки </w:t>
            </w:r>
            <w:r w:rsidR="00BB74B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 </w:t>
            </w:r>
          </w:p>
        </w:tc>
        <w:tc>
          <w:tcPr>
            <w:tcW w:w="4896" w:type="dxa"/>
          </w:tcPr>
          <w:p w:rsidR="007C56D9" w:rsidRDefault="007C56D9" w:rsidP="00BB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изменения нагрузки производятся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заявления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по приказу </w:t>
            </w:r>
            <w:r w:rsidR="00BB74B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BB7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74B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BB74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74BD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2.12.Работодатель или его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представитель обязан при приеме на работу до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трудового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говора с работником ознакомить его под роспись с 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КД, Уставом гимназии,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внутреннего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дового распорядка, должностными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занностями и иными локальными актами. Прекращение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договора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ботником может производиться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по основаниям предусмотренным ТК РФ и иными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деральными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(ст.77 ТК РФ) Трудовой договор с молодыми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листами заключае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общих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ниях, но без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срока по правилам ст.70 ТК РФ.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ознакомлены с содержание КД и другими  локальными актами </w:t>
            </w:r>
            <w:r w:rsidR="00BB74B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Увольнения  производиться согласно ТК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77.</w:t>
            </w:r>
          </w:p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молодыми специалистами трудовой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заключен без испытательного срока</w:t>
            </w:r>
            <w:proofErr w:type="gramStart"/>
            <w:r w:rsidR="00BB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 В целях 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социально-экономических 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тересов молодых специалистов.</w:t>
            </w:r>
          </w:p>
        </w:tc>
        <w:tc>
          <w:tcPr>
            <w:tcW w:w="4896" w:type="dxa"/>
          </w:tcPr>
          <w:p w:rsidR="007C56D9" w:rsidRDefault="007C56D9" w:rsidP="001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Производиться ежемесячная  доплата в ра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мере 2000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Авдеева С.Н, Афанасьева Е.П., Аксёнова Л.И., </w:t>
            </w:r>
            <w:proofErr w:type="spellStart"/>
            <w:r w:rsidR="001634D1">
              <w:rPr>
                <w:rFonts w:ascii="Times New Roman" w:hAnsi="Times New Roman" w:cs="Times New Roman"/>
                <w:sz w:val="24"/>
                <w:szCs w:val="24"/>
              </w:rPr>
              <w:t>Шаврыгина</w:t>
            </w:r>
            <w:proofErr w:type="spellEnd"/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лодых специалистов  работают в 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со сложным конти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гентом 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молодым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листам не прикре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наставники,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за работой и помощь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ществляется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нистрацией.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 Работодатель разрабатывает и утверждает с учетом мнения выборного органа первичной профсоюзной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в порядке,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ст.372 ТК РФ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кальный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акт, регламе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тирующий порядок хранения 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гимназии.</w:t>
            </w:r>
          </w:p>
        </w:tc>
        <w:tc>
          <w:tcPr>
            <w:tcW w:w="4896" w:type="dxa"/>
          </w:tcPr>
          <w:p w:rsidR="007C56D9" w:rsidRDefault="007C56D9" w:rsidP="0016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Положение о хранении и использ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вании персональных данных работников (утве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 xml:space="preserve">ждено приказом </w:t>
            </w:r>
            <w:r w:rsidR="00BB74BD" w:rsidRPr="001634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МДОБУ №140 от </w:t>
            </w:r>
            <w:r w:rsidR="001634D1" w:rsidRPr="0016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4D1" w:rsidRPr="001634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 xml:space="preserve">.2016 года № </w:t>
            </w:r>
            <w:r w:rsidR="001634D1" w:rsidRPr="001634D1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), все  рабо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ники дали согласие на обработку персонал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ных данных и обязательство о неразглаш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нии персональных данных. Личные дела р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 xml:space="preserve">ников, содержащие персональные данные </w:t>
            </w:r>
            <w:r w:rsidR="00E920F1" w:rsidRPr="001634D1">
              <w:rPr>
                <w:rFonts w:ascii="Times New Roman" w:hAnsi="Times New Roman" w:cs="Times New Roman"/>
                <w:sz w:val="24"/>
                <w:szCs w:val="24"/>
              </w:rPr>
              <w:t>хранятся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 xml:space="preserve"> в запира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 xml:space="preserve">щемся железном шкафу, </w:t>
            </w:r>
            <w:proofErr w:type="gramStart"/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обеспечивающее</w:t>
            </w:r>
            <w:proofErr w:type="gramEnd"/>
            <w:r w:rsidRPr="001634D1">
              <w:rPr>
                <w:rFonts w:ascii="Times New Roman" w:hAnsi="Times New Roman" w:cs="Times New Roman"/>
                <w:sz w:val="24"/>
                <w:szCs w:val="24"/>
              </w:rPr>
              <w:t xml:space="preserve"> защиту от несанкционир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D1">
              <w:rPr>
                <w:rFonts w:ascii="Times New Roman" w:hAnsi="Times New Roman" w:cs="Times New Roman"/>
                <w:sz w:val="24"/>
                <w:szCs w:val="24"/>
              </w:rPr>
              <w:t>ванного доступа.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7C56D9" w:rsidRPr="007C56D9" w:rsidRDefault="007C56D9" w:rsidP="007C5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Профессиональная подготовка, переподготовка и повышение квалифик</w:t>
            </w:r>
            <w:r w:rsidRPr="007C56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56D9">
              <w:rPr>
                <w:rFonts w:ascii="Times New Roman" w:hAnsi="Times New Roman" w:cs="Times New Roman"/>
                <w:b/>
                <w:sz w:val="24"/>
                <w:szCs w:val="24"/>
              </w:rPr>
              <w:t>ции работников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B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3.1.Работодатель определяет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димость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подготовки и переподготовки кадров для нужд </w:t>
            </w:r>
            <w:r w:rsidR="00B0266D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E920F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востребован.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 Предоставлять гарантии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кам, совмещающим работу с успешным обучением в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высшего профессионального образования.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гим</w:t>
            </w:r>
            <w:r w:rsidRPr="00E920F1">
              <w:rPr>
                <w:rFonts w:ascii="Times New Roman" w:hAnsi="Times New Roman" w:cs="Times New Roman"/>
                <w:sz w:val="24"/>
                <w:szCs w:val="24"/>
              </w:rPr>
              <w:t>назии высшее образование получает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2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20F1">
              <w:rPr>
                <w:rFonts w:ascii="Times New Roman" w:hAnsi="Times New Roman" w:cs="Times New Roman"/>
                <w:sz w:val="24"/>
                <w:szCs w:val="24"/>
              </w:rPr>
              <w:t>товкина А.С., Кудрявцева Е.Э.</w:t>
            </w:r>
          </w:p>
        </w:tc>
        <w:tc>
          <w:tcPr>
            <w:tcW w:w="2322" w:type="dxa"/>
          </w:tcPr>
          <w:p w:rsidR="007C56D9" w:rsidRDefault="00B026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ставляются.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 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проведение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 работников в соответствии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о порядке аттестации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и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 работников.</w:t>
            </w:r>
          </w:p>
        </w:tc>
        <w:tc>
          <w:tcPr>
            <w:tcW w:w="4896" w:type="dxa"/>
          </w:tcPr>
          <w:p w:rsidR="007C56D9" w:rsidRDefault="007C56D9" w:rsidP="00E9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E920F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востребован.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7C56D9" w:rsidRPr="007C56D9" w:rsidRDefault="007C56D9" w:rsidP="007C5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 5 Рабочее время и время о</w:t>
            </w:r>
            <w:r w:rsidRPr="007C56D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C56D9">
              <w:rPr>
                <w:rFonts w:ascii="Times New Roman" w:hAnsi="Times New Roman" w:cs="Times New Roman"/>
                <w:b/>
                <w:sz w:val="28"/>
                <w:szCs w:val="28"/>
              </w:rPr>
              <w:t>дыха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Рабочее время работников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рабочего времени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установлена с учетом норм педагогической работы не более 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 неделю за ставку заработной платы (ст.333  ТК РФ), определено Правилами внутреннего трудового распорядка, учебным расписанием, годовым календарным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графиком, графиком сменности.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Неполное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время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востребовано</w:t>
            </w:r>
          </w:p>
        </w:tc>
        <w:tc>
          <w:tcPr>
            <w:tcW w:w="2322" w:type="dxa"/>
          </w:tcPr>
          <w:p w:rsidR="007C56D9" w:rsidRDefault="00580733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явлено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B026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. Очередность предоставления оплачиваемых о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пусков определяется 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соотве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ствии с графиком отпусков, утве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жденным работод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телем по согласов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нию с профкомом. 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отпусков согласован на заседании профкома протокол № 26 от 10.12.2015 года.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B026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E92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6D9" w:rsidRPr="00E920F1">
              <w:rPr>
                <w:rFonts w:ascii="Times New Roman" w:hAnsi="Times New Roman" w:cs="Times New Roman"/>
                <w:sz w:val="24"/>
                <w:szCs w:val="24"/>
              </w:rPr>
              <w:t>. Продолжител</w:t>
            </w:r>
            <w:r w:rsidR="007C56D9" w:rsidRPr="00E92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56D9" w:rsidRPr="00E920F1">
              <w:rPr>
                <w:rFonts w:ascii="Times New Roman" w:hAnsi="Times New Roman" w:cs="Times New Roman"/>
                <w:sz w:val="24"/>
                <w:szCs w:val="24"/>
              </w:rPr>
              <w:t>ность основного о</w:t>
            </w:r>
            <w:r w:rsidR="007C56D9" w:rsidRPr="00E92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6D9" w:rsidRPr="00E920F1"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</w:tc>
        <w:tc>
          <w:tcPr>
            <w:tcW w:w="4896" w:type="dxa"/>
          </w:tcPr>
          <w:p w:rsidR="007C56D9" w:rsidRDefault="00E920F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персонал: 28 дней.</w:t>
            </w:r>
          </w:p>
          <w:p w:rsidR="00E920F1" w:rsidRDefault="00E920F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персонал: 42 дня.</w:t>
            </w:r>
          </w:p>
          <w:p w:rsidR="00E920F1" w:rsidRDefault="00E920F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персонал: 28 дней.</w:t>
            </w:r>
          </w:p>
          <w:p w:rsidR="00E920F1" w:rsidRDefault="00E920F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персонал: 28 дней.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B026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.1.Работодатель </w:t>
            </w:r>
            <w:r w:rsidR="007C56D9" w:rsidRPr="001634D1">
              <w:rPr>
                <w:rFonts w:ascii="Times New Roman" w:hAnsi="Times New Roman" w:cs="Times New Roman"/>
                <w:sz w:val="24"/>
                <w:szCs w:val="24"/>
              </w:rPr>
              <w:t>обязуется пред</w:t>
            </w:r>
            <w:r w:rsidR="007C56D9" w:rsidRPr="00163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6D9" w:rsidRPr="001634D1">
              <w:rPr>
                <w:rFonts w:ascii="Times New Roman" w:hAnsi="Times New Roman" w:cs="Times New Roman"/>
                <w:sz w:val="24"/>
                <w:szCs w:val="24"/>
              </w:rPr>
              <w:t>ставлять работникам отпуск без сохран</w:t>
            </w:r>
            <w:r w:rsidR="007C56D9" w:rsidRPr="00163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6D9" w:rsidRPr="001634D1">
              <w:rPr>
                <w:rFonts w:ascii="Times New Roman" w:hAnsi="Times New Roman" w:cs="Times New Roman"/>
                <w:sz w:val="24"/>
                <w:szCs w:val="24"/>
              </w:rPr>
              <w:t>ния платы.</w:t>
            </w:r>
          </w:p>
        </w:tc>
        <w:tc>
          <w:tcPr>
            <w:tcW w:w="4896" w:type="dxa"/>
          </w:tcPr>
          <w:p w:rsidR="007C56D9" w:rsidRDefault="00B0266D" w:rsidP="00E9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E920F1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предоставлены отпуска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920F1">
              <w:rPr>
                <w:rFonts w:ascii="Times New Roman" w:hAnsi="Times New Roman" w:cs="Times New Roman"/>
                <w:sz w:val="24"/>
                <w:szCs w:val="24"/>
              </w:rPr>
              <w:t>Дрязг</w:t>
            </w:r>
            <w:r w:rsidR="00E92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20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920F1">
              <w:rPr>
                <w:rFonts w:ascii="Times New Roman" w:hAnsi="Times New Roman" w:cs="Times New Roman"/>
                <w:sz w:val="24"/>
                <w:szCs w:val="24"/>
              </w:rPr>
              <w:t xml:space="preserve"> Е.Э., Терентьева О.А.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34D1">
              <w:rPr>
                <w:rFonts w:ascii="Times New Roman" w:hAnsi="Times New Roman" w:cs="Times New Roman"/>
                <w:sz w:val="24"/>
                <w:szCs w:val="24"/>
              </w:rPr>
              <w:t>Паринос</w:t>
            </w:r>
            <w:proofErr w:type="spellEnd"/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 Э.С., Сп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рина Ю.С., </w:t>
            </w:r>
            <w:proofErr w:type="spellStart"/>
            <w:r w:rsidR="001634D1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="001634D1">
              <w:rPr>
                <w:rFonts w:ascii="Times New Roman" w:hAnsi="Times New Roman" w:cs="Times New Roman"/>
                <w:sz w:val="24"/>
                <w:szCs w:val="24"/>
              </w:rPr>
              <w:t>Кужел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 Е.В., Сергеева О.В.,</w:t>
            </w:r>
            <w:proofErr w:type="spellStart"/>
            <w:r w:rsidR="001634D1">
              <w:rPr>
                <w:rFonts w:ascii="Times New Roman" w:hAnsi="Times New Roman" w:cs="Times New Roman"/>
                <w:sz w:val="24"/>
                <w:szCs w:val="24"/>
              </w:rPr>
              <w:t>Байдешева</w:t>
            </w:r>
            <w:proofErr w:type="spellEnd"/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 Т.О., Па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лова В.А., Прус Ю.Ю., Яровая Т.А., </w:t>
            </w:r>
            <w:proofErr w:type="spellStart"/>
            <w:r w:rsidR="001634D1">
              <w:rPr>
                <w:rFonts w:ascii="Times New Roman" w:hAnsi="Times New Roman" w:cs="Times New Roman"/>
                <w:sz w:val="24"/>
                <w:szCs w:val="24"/>
              </w:rPr>
              <w:t>Калитко</w:t>
            </w:r>
            <w:proofErr w:type="spellEnd"/>
            <w:r w:rsidR="001634D1">
              <w:rPr>
                <w:rFonts w:ascii="Times New Roman" w:hAnsi="Times New Roman" w:cs="Times New Roman"/>
                <w:sz w:val="24"/>
                <w:szCs w:val="24"/>
              </w:rPr>
              <w:t xml:space="preserve"> Л.А., Гр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34D1">
              <w:rPr>
                <w:rFonts w:ascii="Times New Roman" w:hAnsi="Times New Roman" w:cs="Times New Roman"/>
                <w:sz w:val="24"/>
                <w:szCs w:val="24"/>
              </w:rPr>
              <w:t>горян Г.</w:t>
            </w:r>
            <w:proofErr w:type="gramStart"/>
            <w:r w:rsidR="001634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634D1">
              <w:rPr>
                <w:rFonts w:ascii="Times New Roman" w:hAnsi="Times New Roman" w:cs="Times New Roman"/>
                <w:sz w:val="24"/>
                <w:szCs w:val="24"/>
              </w:rPr>
              <w:t>, Боброва Т.М., Телепнева Е.Ю., Литовкина А.С.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B026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.Предосталять педагогическим р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ботникам не реже чем через каждые 10 лет работы непр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рывной преподав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тельской работы длительный отпуск сроком до 1 года.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востребован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B026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– 5.8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:rsidR="007C56D9" w:rsidRDefault="00E920F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пункты раздела выполняются в полном объеме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7C56D9" w:rsidRPr="007C56D9" w:rsidRDefault="007C56D9" w:rsidP="007C5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Гарантии и компенсации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9" w:rsidRPr="009E22E3" w:rsidTr="001634D1">
        <w:tc>
          <w:tcPr>
            <w:tcW w:w="2388" w:type="dxa"/>
          </w:tcPr>
          <w:p w:rsidR="007C56D9" w:rsidRPr="00295A9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7.1.Работодатель в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дет учет работников, нуждающихся в улучшении жили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ных условий</w:t>
            </w:r>
          </w:p>
        </w:tc>
        <w:tc>
          <w:tcPr>
            <w:tcW w:w="4896" w:type="dxa"/>
          </w:tcPr>
          <w:p w:rsidR="007C56D9" w:rsidRPr="00295A99" w:rsidRDefault="007C56D9" w:rsidP="0029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 </w:t>
            </w:r>
            <w:proofErr w:type="gramStart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  <w:proofErr w:type="gramEnd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на оч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редь для предоставления жилья нужда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щимся р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>ботникам.</w:t>
            </w:r>
          </w:p>
        </w:tc>
        <w:tc>
          <w:tcPr>
            <w:tcW w:w="2322" w:type="dxa"/>
          </w:tcPr>
          <w:p w:rsidR="007C56D9" w:rsidRPr="00295A99" w:rsidRDefault="007C56D9" w:rsidP="0029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Направлено ход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тайство в УНО на 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>Бычкову И.В.,</w:t>
            </w:r>
            <w:proofErr w:type="spellStart"/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>Плескачевскую</w:t>
            </w:r>
            <w:proofErr w:type="spellEnd"/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Д.В., Погосян Л.С.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7.2.Выплачивается педагогическим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 денежная компенсация на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гоиздательскую продукцию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4C334A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востребован.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Оказывает из внебюджетных средств и средств экономии зарабо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платы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 помощь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ботникам, уходящим на пенсию по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востребован.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Pr="006422DA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7C56D9" w:rsidRPr="007C56D9" w:rsidRDefault="007C56D9" w:rsidP="007C5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Охрана труда и здоровья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9" w:rsidRPr="009E22E3" w:rsidTr="001634D1">
        <w:tc>
          <w:tcPr>
            <w:tcW w:w="2388" w:type="dxa"/>
          </w:tcPr>
          <w:p w:rsidR="007C56D9" w:rsidRPr="006422DA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8.2.Предусмотреть на мероприятия по охране труда, опр</w:t>
            </w: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деленные Соглаш</w:t>
            </w: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нием по охране тр</w:t>
            </w: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да, средства в сумме 0,2% суммы затрат на производство продукции (работ, услуг).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соглашении по охране труда заложено </w:t>
            </w:r>
            <w:r w:rsidR="006422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22DA">
              <w:rPr>
                <w:rFonts w:ascii="Times New Roman" w:hAnsi="Times New Roman" w:cs="Times New Roman"/>
                <w:sz w:val="24"/>
                <w:szCs w:val="24"/>
              </w:rPr>
              <w:t>66992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="006422DA">
              <w:rPr>
                <w:rFonts w:ascii="Times New Roman" w:hAnsi="Times New Roman" w:cs="Times New Roman"/>
                <w:sz w:val="24"/>
                <w:szCs w:val="24"/>
              </w:rPr>
              <w:t xml:space="preserve"> (с пожертвований на нужды учреждения)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освоено полностью;</w:t>
            </w:r>
          </w:p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обеспечению теплового режима-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2DA">
              <w:rPr>
                <w:rFonts w:ascii="Times New Roman" w:hAnsi="Times New Roman" w:cs="Times New Roman"/>
                <w:sz w:val="24"/>
                <w:szCs w:val="24"/>
              </w:rPr>
              <w:t>128699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освоено полностью;</w:t>
            </w:r>
          </w:p>
          <w:p w:rsidR="007C56D9" w:rsidRPr="001373F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Обеспечение, проверка средств пожар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тушения – </w:t>
            </w:r>
            <w:r w:rsidR="006422DA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  <w:r w:rsidRPr="001373F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6422DA">
              <w:rPr>
                <w:rFonts w:ascii="Times New Roman" w:hAnsi="Times New Roman" w:cs="Times New Roman"/>
                <w:sz w:val="24"/>
                <w:szCs w:val="24"/>
              </w:rPr>
              <w:t xml:space="preserve">(с пожертвований на нужды учреждения)   </w:t>
            </w:r>
            <w:r w:rsidRPr="001373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F9">
              <w:rPr>
                <w:rFonts w:ascii="Times New Roman" w:hAnsi="Times New Roman" w:cs="Times New Roman"/>
                <w:sz w:val="24"/>
                <w:szCs w:val="24"/>
              </w:rPr>
              <w:t>освоено полн</w:t>
            </w:r>
            <w:r w:rsidRPr="00137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3F9">
              <w:rPr>
                <w:rFonts w:ascii="Times New Roman" w:hAnsi="Times New Roman" w:cs="Times New Roman"/>
                <w:sz w:val="24"/>
                <w:szCs w:val="24"/>
              </w:rPr>
              <w:t>стью;</w:t>
            </w:r>
          </w:p>
          <w:p w:rsidR="007C56D9" w:rsidRPr="001373F9" w:rsidRDefault="007C56D9" w:rsidP="0064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обслуживание прот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вопожарной сигнализации – </w:t>
            </w:r>
            <w:r w:rsidRPr="00137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22DA">
              <w:rPr>
                <w:rFonts w:ascii="Times New Roman" w:hAnsi="Times New Roman" w:cs="Times New Roman"/>
                <w:sz w:val="24"/>
                <w:szCs w:val="24"/>
              </w:rPr>
              <w:t>8000 рублей – освоено полностью.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8.3.Провести в учреждении СОУТ</w:t>
            </w:r>
          </w:p>
        </w:tc>
        <w:tc>
          <w:tcPr>
            <w:tcW w:w="4896" w:type="dxa"/>
          </w:tcPr>
          <w:p w:rsidR="007C56D9" w:rsidRPr="00295A99" w:rsidRDefault="00295A9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E71C5" w:rsidRPr="00295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проведена оценка 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  <w:p w:rsidR="007C56D9" w:rsidRPr="004C334A" w:rsidRDefault="007C56D9" w:rsidP="00295A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комиссии по проверке рабочих мест входят 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и уполномоченный по охране труда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8.4.Проводить со всеми поступающ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на работу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инструктажи по ОТ, сохранности жизни и здоровья детей,  безопасным методам и приемам выполнения работ, оказанию первой медицинской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щи.     </w:t>
            </w:r>
          </w:p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7C56D9" w:rsidRPr="004C334A" w:rsidRDefault="007C56D9" w:rsidP="005E7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У инженера по ОТ </w:t>
            </w:r>
            <w:proofErr w:type="spellStart"/>
            <w:r w:rsidR="005E71C5" w:rsidRPr="00295A99">
              <w:rPr>
                <w:rFonts w:ascii="Times New Roman" w:hAnsi="Times New Roman" w:cs="Times New Roman"/>
                <w:sz w:val="24"/>
                <w:szCs w:val="24"/>
              </w:rPr>
              <w:t>Ступниковой</w:t>
            </w:r>
            <w:proofErr w:type="spellEnd"/>
            <w:r w:rsidR="005E71C5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имею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ся все журналы по проверке знаний по ОТ,  проведение инструктаже по ТБ, имеется с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ванные с профкомом документы по ОТ: программа первичного инструктажа на раб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чем месте, перечень профессий и должн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стей электротехнического персонала с гру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пой по электробезопасности  1,  план пров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дения дней ОТ в гимназии, список работн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ков освобожденных от прохождения перви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ного инструктажа на рабочем месте, пол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по охране труда, планир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вание работы комиссии по охране труда, план мероприятий по улучшению условий охраны труда, положение «О системе упра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ления охраной труда», анализ выполнения плана работы по </w:t>
            </w:r>
            <w:proofErr w:type="gramStart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матер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алы.</w:t>
            </w: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8.10.Проводить своевременное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несчас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случаев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</w:tc>
        <w:tc>
          <w:tcPr>
            <w:tcW w:w="4896" w:type="dxa"/>
          </w:tcPr>
          <w:p w:rsidR="007C56D9" w:rsidRDefault="00580733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производственного травматизма не было.</w:t>
            </w:r>
          </w:p>
        </w:tc>
        <w:tc>
          <w:tcPr>
            <w:tcW w:w="2322" w:type="dxa"/>
          </w:tcPr>
          <w:p w:rsidR="007C56D9" w:rsidRDefault="004C334A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 обеспечить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рантии 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и льготы р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ботникам, занятым на тяжелых работах и работах с вредн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ми и опасными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труда.</w:t>
            </w:r>
          </w:p>
        </w:tc>
        <w:tc>
          <w:tcPr>
            <w:tcW w:w="4896" w:type="dxa"/>
          </w:tcPr>
          <w:p w:rsidR="007C56D9" w:rsidRDefault="007C56D9" w:rsidP="004C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5E71C5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востребован.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 Разработать и утвердить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ОТ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 профкомом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8.14. Обеспечивать соблюдение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требований, правил и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по ОТ.</w:t>
            </w:r>
          </w:p>
        </w:tc>
        <w:tc>
          <w:tcPr>
            <w:tcW w:w="4896" w:type="dxa"/>
          </w:tcPr>
          <w:p w:rsidR="007C56D9" w:rsidRPr="00295A99" w:rsidRDefault="007C56D9" w:rsidP="0029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C334A" w:rsidRPr="00295A99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отве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ственных лиц по ОТ и обеспечению безопа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ности в М</w:t>
            </w:r>
            <w:r w:rsidR="004C334A" w:rsidRPr="00295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ОБУ  №</w:t>
            </w:r>
            <w:r w:rsidR="004C334A" w:rsidRPr="00295A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>7 года № 14/2</w:t>
            </w:r>
            <w:proofErr w:type="gramEnd"/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8.15. Создать в учреждении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сию по охране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в состав которой на паритетной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должны входить члены профкома, уполномоченные лица по охране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4896" w:type="dxa"/>
          </w:tcPr>
          <w:p w:rsidR="007C56D9" w:rsidRPr="00295A9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4C334A" w:rsidRPr="00295A99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комиссия по охране труда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(от 28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>02.2017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95A99" w:rsidRPr="00295A99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6D9" w:rsidRPr="00295A99" w:rsidRDefault="00295A9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Бычкова И.В.</w:t>
            </w:r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6D9" w:rsidRPr="00295A99" w:rsidRDefault="00295A9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– инженер </w:t>
            </w:r>
            <w:proofErr w:type="gramStart"/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7C56D9" w:rsidRDefault="00295A9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Плескачевская</w:t>
            </w:r>
            <w:proofErr w:type="spellEnd"/>
            <w:r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– зам 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="007C56D9" w:rsidRPr="00295A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95A99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Pr="007C56D9" w:rsidRDefault="007C56D9" w:rsidP="007C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9 Гарантии профсоюзной де</w:t>
            </w:r>
            <w:r w:rsidRPr="007C56D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C56D9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7C56D9" w:rsidRPr="009E22E3" w:rsidTr="001634D1">
        <w:tc>
          <w:tcPr>
            <w:tcW w:w="2388" w:type="dxa"/>
          </w:tcPr>
          <w:p w:rsidR="007C56D9" w:rsidRPr="007C56D9" w:rsidRDefault="007C56D9" w:rsidP="007C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Обяз</w:t>
            </w:r>
            <w:r w:rsidRPr="007C56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56D9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профкома</w:t>
            </w:r>
          </w:p>
        </w:tc>
        <w:tc>
          <w:tcPr>
            <w:tcW w:w="489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нет.</w:t>
            </w:r>
          </w:p>
        </w:tc>
      </w:tr>
    </w:tbl>
    <w:p w:rsidR="009E22E3" w:rsidRPr="009E22E3" w:rsidRDefault="009E22E3" w:rsidP="009E22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22E3" w:rsidRPr="009E22E3" w:rsidSect="007C56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E3"/>
    <w:rsid w:val="000E4D17"/>
    <w:rsid w:val="001373F9"/>
    <w:rsid w:val="001634D1"/>
    <w:rsid w:val="001C3780"/>
    <w:rsid w:val="00201D19"/>
    <w:rsid w:val="00242876"/>
    <w:rsid w:val="00295A99"/>
    <w:rsid w:val="002A1A89"/>
    <w:rsid w:val="002C5A48"/>
    <w:rsid w:val="002D0672"/>
    <w:rsid w:val="002F6520"/>
    <w:rsid w:val="003F42D9"/>
    <w:rsid w:val="0048439C"/>
    <w:rsid w:val="004C334A"/>
    <w:rsid w:val="004E7C46"/>
    <w:rsid w:val="004F2013"/>
    <w:rsid w:val="00580733"/>
    <w:rsid w:val="00587E13"/>
    <w:rsid w:val="005B4CE1"/>
    <w:rsid w:val="005E71C5"/>
    <w:rsid w:val="006422DA"/>
    <w:rsid w:val="006B1D42"/>
    <w:rsid w:val="006C280E"/>
    <w:rsid w:val="00712ACE"/>
    <w:rsid w:val="007B2323"/>
    <w:rsid w:val="007C56D9"/>
    <w:rsid w:val="007C6EC5"/>
    <w:rsid w:val="00830DA7"/>
    <w:rsid w:val="0090089D"/>
    <w:rsid w:val="00983A33"/>
    <w:rsid w:val="009E22E3"/>
    <w:rsid w:val="00A85F2B"/>
    <w:rsid w:val="00B0266D"/>
    <w:rsid w:val="00BB74BD"/>
    <w:rsid w:val="00C84EEF"/>
    <w:rsid w:val="00CB6F95"/>
    <w:rsid w:val="00DB20F2"/>
    <w:rsid w:val="00E038C6"/>
    <w:rsid w:val="00E46188"/>
    <w:rsid w:val="00E73300"/>
    <w:rsid w:val="00E920F1"/>
    <w:rsid w:val="00EB564E"/>
    <w:rsid w:val="00F06D83"/>
    <w:rsid w:val="00F0786F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8674-153E-4026-8A6B-17468642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User</cp:lastModifiedBy>
  <cp:revision>2</cp:revision>
  <cp:lastPrinted>2017-08-01T12:00:00Z</cp:lastPrinted>
  <dcterms:created xsi:type="dcterms:W3CDTF">2017-08-01T12:01:00Z</dcterms:created>
  <dcterms:modified xsi:type="dcterms:W3CDTF">2017-08-01T12:01:00Z</dcterms:modified>
</cp:coreProperties>
</file>